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F0FAA" w14:textId="3496F24D" w:rsidR="00EF048B" w:rsidRDefault="00EF048B" w:rsidP="00EF048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R4-25217</w:t>
        </w:r>
        <w:r>
          <w:rPr>
            <w:b/>
            <w:i/>
            <w:noProof/>
            <w:sz w:val="28"/>
          </w:rPr>
          <w:t>37</w:t>
        </w:r>
      </w:fldSimple>
    </w:p>
    <w:p w14:paraId="4E19011E" w14:textId="3798835C" w:rsidR="00841BCD" w:rsidRPr="00EF048B" w:rsidRDefault="00EF048B" w:rsidP="00EF048B">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p w14:paraId="304CB3F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99FE871" w14:textId="52FC398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F048B" w:rsidRPr="00EF048B">
        <w:rPr>
          <w:rFonts w:ascii="Arial" w:eastAsia="Calibri" w:hAnsi="Arial" w:cs="Arial"/>
          <w:b/>
          <w:bCs/>
          <w:sz w:val="24"/>
        </w:rPr>
        <w:t>Discussing the test configuration using FR1-NTN numerology in Ku band</w:t>
      </w:r>
    </w:p>
    <w:p w14:paraId="750A22EC" w14:textId="291F7989" w:rsidR="00414572"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14572">
        <w:rPr>
          <w:rFonts w:ascii="Arial" w:eastAsia="MS Mincho" w:hAnsi="Arial" w:cs="Arial"/>
          <w:b/>
          <w:bCs/>
          <w:sz w:val="24"/>
          <w:szCs w:val="20"/>
        </w:rPr>
        <w:t>5.10.2</w:t>
      </w:r>
    </w:p>
    <w:p w14:paraId="0D47EB6E" w14:textId="63AB8476"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3A336D">
        <w:rPr>
          <w:rFonts w:ascii="Arial" w:eastAsia="Calibri" w:hAnsi="Arial" w:cs="Arial"/>
          <w:b/>
          <w:bCs/>
          <w:sz w:val="24"/>
        </w:rPr>
        <w:t>Approval</w:t>
      </w:r>
    </w:p>
    <w:p w14:paraId="1B1F8825"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0AF4ADAA" w14:textId="3C57370B" w:rsidR="003152B4" w:rsidRDefault="00455028" w:rsidP="00455028">
      <w:r w:rsidRPr="00CA7877">
        <w:t xml:space="preserve">In the last RAN4 meeting, the discussions for the implementation of RRM requirements related to Ku Band have </w:t>
      </w:r>
      <w:r w:rsidR="003152B4">
        <w:t xml:space="preserve">LED to the implementation of this new feature in the standard. One of the main difference of the new feature is that in the Ku Band,  both FR1-NTN and FR2-NTN numerology might be used, at the discretion of the network. </w:t>
      </w:r>
    </w:p>
    <w:p w14:paraId="18804EC8" w14:textId="3795DED6" w:rsidR="00C34521" w:rsidRDefault="00057A68" w:rsidP="003152B4">
      <w:r>
        <w:t xml:space="preserve">In this document we provide our views on test cases for Ku band utilization in NR NTN. </w:t>
      </w:r>
    </w:p>
    <w:p w14:paraId="5303E435" w14:textId="77777777" w:rsidR="0060543D" w:rsidRPr="008F786B" w:rsidRDefault="0060543D" w:rsidP="005C23A4"/>
    <w:p w14:paraId="1D7A6B92" w14:textId="13A53828" w:rsidR="00E85346" w:rsidRDefault="003B659E" w:rsidP="00E85346">
      <w:pPr>
        <w:pStyle w:val="RAN4H1"/>
      </w:pPr>
      <w:bookmarkStart w:id="1" w:name="_Toc116995842"/>
      <w:r w:rsidRPr="008F786B">
        <w:t>Discussio</w:t>
      </w:r>
      <w:bookmarkEnd w:id="1"/>
      <w:r w:rsidR="00057A68">
        <w:t>n</w:t>
      </w:r>
    </w:p>
    <w:p w14:paraId="508CCDA5" w14:textId="79D47FFD" w:rsidR="008A1B0F" w:rsidRPr="008A1B0F" w:rsidRDefault="008A1B0F" w:rsidP="00E85346">
      <w:pPr>
        <w:pStyle w:val="RAN4H2"/>
        <w:rPr>
          <w:lang w:val="en-US"/>
        </w:rPr>
      </w:pPr>
      <w:r>
        <w:rPr>
          <w:lang w:val="en-US"/>
        </w:rPr>
        <w:t>Test cases in FR1-NTN Numerology</w:t>
      </w:r>
    </w:p>
    <w:p w14:paraId="2516B4A7" w14:textId="7334ED9E" w:rsidR="00E85346" w:rsidRDefault="00E85346" w:rsidP="008A1B0F">
      <w:pPr>
        <w:pStyle w:val="RAN4H3"/>
        <w:rPr>
          <w:lang w:val="en-US"/>
        </w:rPr>
      </w:pPr>
      <w:r>
        <w:t xml:space="preserve">Configuration for </w:t>
      </w:r>
      <w:r w:rsidRPr="00E85346">
        <w:rPr>
          <w:lang w:val="en-US"/>
        </w:rPr>
        <w:t>T</w:t>
      </w:r>
      <w:r>
        <w:rPr>
          <w:lang w:val="en-US"/>
        </w:rPr>
        <w:t>est Cases using FR1 numerology</w:t>
      </w:r>
    </w:p>
    <w:p w14:paraId="776073CE" w14:textId="729B2C07" w:rsidR="00E85346" w:rsidRDefault="00E85346" w:rsidP="00E85346">
      <w:pPr>
        <w:rPr>
          <w:lang w:val="en-US"/>
        </w:rPr>
      </w:pPr>
      <w:r>
        <w:rPr>
          <w:lang w:val="en-US"/>
        </w:rPr>
        <w:t xml:space="preserve">In the previous meeting, RAN4 agreed on certain guidelines for developing the test cases using FR1-NTN numerology in the KU band </w:t>
      </w:r>
      <w:r>
        <w:rPr>
          <w:lang w:val="en-US"/>
        </w:rPr>
        <w:fldChar w:fldCharType="begin"/>
      </w:r>
      <w:r>
        <w:rPr>
          <w:lang w:val="en-US"/>
        </w:rPr>
        <w:instrText xml:space="preserve"> REF _Ref213345336 \r \h </w:instrText>
      </w:r>
      <w:r>
        <w:rPr>
          <w:lang w:val="en-US"/>
        </w:rPr>
      </w:r>
      <w:r>
        <w:rPr>
          <w:lang w:val="en-US"/>
        </w:rPr>
        <w:fldChar w:fldCharType="separate"/>
      </w:r>
      <w:r>
        <w:rPr>
          <w:lang w:val="en-US"/>
        </w:rPr>
        <w:t>[1]</w:t>
      </w:r>
      <w:r>
        <w:rPr>
          <w:lang w:val="en-US"/>
        </w:rPr>
        <w:fldChar w:fldCharType="end"/>
      </w:r>
      <w:r>
        <w:rPr>
          <w:lang w:val="en-US"/>
        </w:rPr>
        <w:t>. Some of the fundamental agreements reached by RAN4 are provided in the Table below:</w:t>
      </w:r>
    </w:p>
    <w:tbl>
      <w:tblPr>
        <w:tblStyle w:val="TableGrid"/>
        <w:tblW w:w="0" w:type="auto"/>
        <w:tblLook w:val="04A0" w:firstRow="1" w:lastRow="0" w:firstColumn="1" w:lastColumn="0" w:noHBand="0" w:noVBand="1"/>
      </w:tblPr>
      <w:tblGrid>
        <w:gridCol w:w="9617"/>
      </w:tblGrid>
      <w:tr w:rsidR="00E85346" w14:paraId="1051A609" w14:textId="77777777" w:rsidTr="00E85346">
        <w:tc>
          <w:tcPr>
            <w:tcW w:w="9617" w:type="dxa"/>
          </w:tcPr>
          <w:p w14:paraId="430655BE" w14:textId="77777777" w:rsidR="00E85346" w:rsidRDefault="00E85346" w:rsidP="00E85346">
            <w:pPr>
              <w:pStyle w:val="Heading4"/>
              <w:rPr>
                <w:rFonts w:ascii="Times New Roman" w:hAnsi="Times New Roman"/>
                <w:b/>
                <w:bCs/>
                <w:szCs w:val="24"/>
                <w:lang w:val="en-US"/>
              </w:rPr>
            </w:pPr>
            <w:r w:rsidRPr="005D7DA6">
              <w:rPr>
                <w:rFonts w:ascii="Times New Roman" w:hAnsi="Times New Roman"/>
                <w:b/>
                <w:bCs/>
                <w:szCs w:val="24"/>
                <w:lang w:val="en-US"/>
              </w:rPr>
              <w:t xml:space="preserve">Issue 1-2-1: test cases with new requirement  </w:t>
            </w:r>
          </w:p>
          <w:p w14:paraId="65144385" w14:textId="77777777" w:rsidR="00E85346" w:rsidRPr="005D7DA6" w:rsidRDefault="00E85346" w:rsidP="00E85346">
            <w:pPr>
              <w:rPr>
                <w:lang w:val="en-US"/>
              </w:rPr>
            </w:pPr>
            <w:r>
              <w:rPr>
                <w:lang w:val="en-US"/>
              </w:rPr>
              <w:t>Agreement</w:t>
            </w:r>
          </w:p>
          <w:p w14:paraId="556F3BED" w14:textId="77777777" w:rsidR="00E85346" w:rsidRPr="00D910ED" w:rsidRDefault="00E85346" w:rsidP="00E85346">
            <w:pPr>
              <w:pStyle w:val="ListParagraph"/>
              <w:numPr>
                <w:ilvl w:val="0"/>
                <w:numId w:val="36"/>
              </w:numPr>
              <w:autoSpaceDN w:val="0"/>
              <w:spacing w:after="120"/>
              <w:contextualSpacing w:val="0"/>
              <w:rPr>
                <w:lang w:val="en-US" w:eastAsia="zh-CN"/>
              </w:rPr>
            </w:pPr>
            <w:r w:rsidRPr="00D910ED">
              <w:t>For Ku band with FR1 and FR2 numerology, introduce new test cases for hard and soft satellite switching for VSAT UEs</w:t>
            </w:r>
          </w:p>
          <w:p w14:paraId="04396364" w14:textId="77777777" w:rsidR="00E85346" w:rsidRPr="00201706" w:rsidRDefault="00E85346" w:rsidP="00E85346">
            <w:pPr>
              <w:pStyle w:val="Heading4"/>
              <w:rPr>
                <w:rFonts w:ascii="Times New Roman" w:hAnsi="Times New Roman"/>
                <w:b/>
                <w:bCs/>
                <w:szCs w:val="24"/>
                <w:lang w:val="en-US"/>
              </w:rPr>
            </w:pPr>
            <w:r w:rsidRPr="00201706">
              <w:rPr>
                <w:rFonts w:ascii="Times New Roman" w:hAnsi="Times New Roman"/>
                <w:b/>
                <w:bCs/>
                <w:szCs w:val="24"/>
                <w:lang w:val="en-US"/>
              </w:rPr>
              <w:t>Issue 1-2-4: Test cases for Ku bands in FR1-NTN</w:t>
            </w:r>
          </w:p>
          <w:p w14:paraId="28A6B3B1" w14:textId="77777777" w:rsidR="00E85346" w:rsidRDefault="00E85346" w:rsidP="00E85346">
            <w:pPr>
              <w:rPr>
                <w:lang w:val="en-US"/>
              </w:rPr>
            </w:pPr>
            <w:r>
              <w:rPr>
                <w:lang w:val="en-US"/>
              </w:rPr>
              <w:t>WayForward</w:t>
            </w:r>
          </w:p>
          <w:p w14:paraId="1E486844" w14:textId="77777777" w:rsidR="00E85346" w:rsidRPr="007742E4" w:rsidRDefault="00E85346" w:rsidP="00E85346">
            <w:pPr>
              <w:pStyle w:val="ListParagraph"/>
              <w:numPr>
                <w:ilvl w:val="0"/>
                <w:numId w:val="39"/>
              </w:numPr>
              <w:overflowPunct w:val="0"/>
              <w:autoSpaceDE w:val="0"/>
              <w:autoSpaceDN w:val="0"/>
              <w:adjustRightInd w:val="0"/>
              <w:spacing w:after="120"/>
              <w:contextualSpacing w:val="0"/>
              <w:textAlignment w:val="baseline"/>
              <w:rPr>
                <w:bCs/>
                <w:lang w:val="en-US" w:eastAsia="zh-CN"/>
              </w:rPr>
            </w:pPr>
            <w:r w:rsidRPr="007742E4">
              <w:rPr>
                <w:lang w:val="en-US"/>
              </w:rPr>
              <w:t xml:space="preserve">Further discuss the following options </w:t>
            </w:r>
          </w:p>
          <w:p w14:paraId="5AD4BFCF" w14:textId="77777777" w:rsidR="00E85346" w:rsidRPr="00D910ED" w:rsidRDefault="00E85346" w:rsidP="00E85346">
            <w:pPr>
              <w:pStyle w:val="ListParagraph"/>
              <w:numPr>
                <w:ilvl w:val="0"/>
                <w:numId w:val="39"/>
              </w:numPr>
              <w:overflowPunct w:val="0"/>
              <w:autoSpaceDE w:val="0"/>
              <w:autoSpaceDN w:val="0"/>
              <w:adjustRightInd w:val="0"/>
              <w:spacing w:after="120"/>
              <w:ind w:left="644"/>
              <w:contextualSpacing w:val="0"/>
              <w:rPr>
                <w:rFonts w:eastAsia="SimSun"/>
                <w:bCs/>
                <w:lang w:val="en-US" w:eastAsia="zh-CN"/>
              </w:rPr>
            </w:pPr>
            <w:r w:rsidRPr="00D910ED">
              <w:rPr>
                <w:rFonts w:eastAsia="SimSun"/>
                <w:bCs/>
              </w:rPr>
              <w:t>Option 1: reuse exiting test cases defined for SAN FR1</w:t>
            </w:r>
          </w:p>
          <w:p w14:paraId="2ECF5080" w14:textId="77777777" w:rsidR="00E85346" w:rsidRPr="00D910ED" w:rsidRDefault="00E85346" w:rsidP="00E85346">
            <w:pPr>
              <w:pStyle w:val="ListParagraph"/>
              <w:numPr>
                <w:ilvl w:val="1"/>
                <w:numId w:val="37"/>
              </w:numPr>
              <w:overflowPunct w:val="0"/>
              <w:autoSpaceDE w:val="0"/>
              <w:autoSpaceDN w:val="0"/>
              <w:adjustRightInd w:val="0"/>
              <w:spacing w:after="120"/>
              <w:ind w:left="1364"/>
              <w:contextualSpacing w:val="0"/>
              <w:rPr>
                <w:lang w:val="x-none" w:eastAsia="x-none"/>
              </w:rPr>
            </w:pPr>
            <w:r w:rsidRPr="00D910ED">
              <w:rPr>
                <w:lang w:val="x-none" w:eastAsia="x-none"/>
              </w:rPr>
              <w:t>Add a table clarifying test applicability for the corresponding test cases for VSAT UEs.</w:t>
            </w:r>
          </w:p>
          <w:p w14:paraId="62501258" w14:textId="77777777" w:rsidR="00E85346" w:rsidRPr="00D910ED" w:rsidRDefault="00E85346" w:rsidP="00E85346">
            <w:pPr>
              <w:pStyle w:val="ListParagraph"/>
              <w:numPr>
                <w:ilvl w:val="1"/>
                <w:numId w:val="37"/>
              </w:numPr>
              <w:overflowPunct w:val="0"/>
              <w:autoSpaceDE w:val="0"/>
              <w:autoSpaceDN w:val="0"/>
              <w:adjustRightInd w:val="0"/>
              <w:spacing w:after="120"/>
              <w:ind w:left="1364"/>
              <w:contextualSpacing w:val="0"/>
              <w:rPr>
                <w:lang w:val="x-none" w:eastAsia="x-none"/>
              </w:rPr>
            </w:pPr>
            <w:r w:rsidRPr="00D910ED">
              <w:rPr>
                <w:lang w:val="x-none" w:eastAsia="x-none"/>
              </w:rPr>
              <w:t>Add OTA related parameters</w:t>
            </w:r>
          </w:p>
          <w:p w14:paraId="34DC9DA0" w14:textId="77777777" w:rsidR="00E85346" w:rsidRDefault="00E85346" w:rsidP="00E85346">
            <w:pPr>
              <w:pStyle w:val="ListParagraph"/>
              <w:numPr>
                <w:ilvl w:val="0"/>
                <w:numId w:val="39"/>
              </w:numPr>
              <w:overflowPunct w:val="0"/>
              <w:autoSpaceDE w:val="0"/>
              <w:autoSpaceDN w:val="0"/>
              <w:adjustRightInd w:val="0"/>
              <w:spacing w:after="120"/>
              <w:ind w:left="644"/>
              <w:contextualSpacing w:val="0"/>
              <w:rPr>
                <w:rFonts w:eastAsia="SimSun"/>
                <w:bCs/>
                <w:lang w:val="en-US" w:eastAsia="zh-CN"/>
              </w:rPr>
            </w:pPr>
            <w:r w:rsidRPr="008B5E14">
              <w:rPr>
                <w:rFonts w:eastAsia="SimSun"/>
                <w:bCs/>
              </w:rPr>
              <w:t>Option 2: reuse existing test cases defined for FR2-NTN</w:t>
            </w:r>
            <w:r w:rsidRPr="008B5E14">
              <w:rPr>
                <w:lang w:val="x-none" w:eastAsia="x-none"/>
              </w:rPr>
              <w:t>, unless</w:t>
            </w:r>
            <w:r>
              <w:rPr>
                <w:lang w:val="x-none" w:eastAsia="x-none"/>
              </w:rPr>
              <w:t xml:space="preserve"> otherwise specified</w:t>
            </w:r>
          </w:p>
          <w:p w14:paraId="0E97CCEF" w14:textId="77777777" w:rsidR="00E85346" w:rsidRPr="00251645" w:rsidRDefault="00E85346" w:rsidP="00E85346">
            <w:pPr>
              <w:pStyle w:val="ListParagraph"/>
              <w:numPr>
                <w:ilvl w:val="1"/>
                <w:numId w:val="37"/>
              </w:numPr>
              <w:overflowPunct w:val="0"/>
              <w:autoSpaceDE w:val="0"/>
              <w:autoSpaceDN w:val="0"/>
              <w:adjustRightInd w:val="0"/>
              <w:spacing w:after="120"/>
              <w:ind w:left="1364"/>
              <w:contextualSpacing w:val="0"/>
              <w:rPr>
                <w:lang w:val="x-none" w:eastAsia="x-none"/>
              </w:rPr>
            </w:pPr>
            <w:r>
              <w:rPr>
                <w:lang w:val="x-none" w:eastAsia="x-none"/>
              </w:rPr>
              <w:t>Introduce a new configuration that corresponds to the reference channels used for FR1-NTN numerology.</w:t>
            </w:r>
          </w:p>
          <w:p w14:paraId="4364E27D" w14:textId="77777777" w:rsidR="00E85346" w:rsidRPr="00E85346" w:rsidRDefault="00E85346" w:rsidP="00E85346">
            <w:pPr>
              <w:rPr>
                <w:lang w:val="x-none"/>
              </w:rPr>
            </w:pPr>
          </w:p>
        </w:tc>
      </w:tr>
    </w:tbl>
    <w:p w14:paraId="64C4D47A" w14:textId="77777777" w:rsidR="00E85346" w:rsidRDefault="00E85346" w:rsidP="00E85346">
      <w:pPr>
        <w:rPr>
          <w:lang w:val="en-US"/>
        </w:rPr>
      </w:pPr>
    </w:p>
    <w:p w14:paraId="2C5F67BD" w14:textId="5E11186E" w:rsidR="00D4121D" w:rsidRDefault="00D4121D" w:rsidP="00E85346">
      <w:pPr>
        <w:rPr>
          <w:lang w:val="en-US"/>
        </w:rPr>
      </w:pPr>
      <w:r>
        <w:rPr>
          <w:lang w:val="en-US"/>
        </w:rPr>
        <w:t xml:space="preserve">In Relation to Issue 1-2-4, RAN4 was agreed to further discuss whether the test cases for FR1-NTN numerology should  reuse the test cases defined for SAN FR1 or if they should reuse the test case defined for FR2-NTN numerology. The solutions have different pros and cons. </w:t>
      </w:r>
    </w:p>
    <w:p w14:paraId="361BAF07" w14:textId="65BEA743" w:rsidR="00D4121D" w:rsidRDefault="00D4121D" w:rsidP="00E85346">
      <w:pPr>
        <w:rPr>
          <w:lang w:val="en-US"/>
        </w:rPr>
      </w:pPr>
      <w:r>
        <w:rPr>
          <w:lang w:val="en-US"/>
        </w:rPr>
        <w:t>For option 1, the advantage is that they are reusing the same numerology, so it might be easier to implement the test configuration in the specification. On the other hand, the criteria used for establishing the “passing requirements” for each test case will point to different clauses and different numbers. Besides, it adds one complexity layer, as the test cases originally designed for NTN han</w:t>
      </w:r>
      <w:r w:rsidR="00E82064">
        <w:rPr>
          <w:lang w:val="en-US"/>
        </w:rPr>
        <w:t>h</w:t>
      </w:r>
      <w:r>
        <w:rPr>
          <w:lang w:val="en-US"/>
        </w:rPr>
        <w:t>eld UEs in FR1 are reused for VSAT UEs</w:t>
      </w:r>
      <w:r w:rsidR="00E82064">
        <w:rPr>
          <w:lang w:val="en-US"/>
        </w:rPr>
        <w:t xml:space="preserve">, as these UEs are not designed under </w:t>
      </w:r>
      <w:r w:rsidR="00E82064">
        <w:rPr>
          <w:lang w:val="en-US"/>
        </w:rPr>
        <w:lastRenderedPageBreak/>
        <w:t xml:space="preserve">the same principles. For example, advances in the discussion on OTA testing for NTN might in the future be applied for VSAT testing, which will require a new re-work on the configuration of FR1 test cases to accommodate for the changes. The work is more future proof if the FR1-NTN numerology tests in the Ku band are conducted together with the VSAT test cases for FR2-NTN. This will ensure that all test cases for VSAT UEs are captured in the same clauses, regardless of the numerology, this makes the specification more readable and future proof, at the expense of some additional work for implementing this into specification. We see that the advantage of introducing these test cases using the VSAT tests is worth the specification work needed now. </w:t>
      </w:r>
    </w:p>
    <w:p w14:paraId="0235C245" w14:textId="77777777" w:rsidR="00E82064" w:rsidRDefault="00E82064" w:rsidP="00E82064">
      <w:pPr>
        <w:pStyle w:val="RAN4proposal"/>
        <w:rPr>
          <w:lang w:val="en-US"/>
        </w:rPr>
      </w:pPr>
      <w:bookmarkStart w:id="2" w:name="_Toc213425692"/>
      <w:r>
        <w:rPr>
          <w:lang w:val="en-US"/>
        </w:rPr>
        <w:t>For introducing the test cases for FR1-NTN numerology, reuse the FR2-NTN test cases with the necessary modifications in the reference channels on the test case description.</w:t>
      </w:r>
      <w:bookmarkEnd w:id="2"/>
      <w:r>
        <w:rPr>
          <w:lang w:val="en-US"/>
        </w:rPr>
        <w:t xml:space="preserve"> </w:t>
      </w:r>
    </w:p>
    <w:p w14:paraId="123DE78B" w14:textId="77777777" w:rsidR="00E82064" w:rsidRDefault="00E82064" w:rsidP="008A1B0F">
      <w:pPr>
        <w:pStyle w:val="RAN4H3"/>
        <w:rPr>
          <w:lang w:val="en-US"/>
        </w:rPr>
      </w:pPr>
      <w:r>
        <w:rPr>
          <w:lang w:val="en-US"/>
        </w:rPr>
        <w:t>Reference Channel for FR1-NTN test cases</w:t>
      </w:r>
    </w:p>
    <w:p w14:paraId="16833A83" w14:textId="6E6A2EF9" w:rsidR="00E82064" w:rsidRDefault="00E82064" w:rsidP="00E82064">
      <w:pPr>
        <w:rPr>
          <w:lang w:val="en-US"/>
        </w:rPr>
      </w:pPr>
      <w:r>
        <w:rPr>
          <w:lang w:val="en-US"/>
        </w:rPr>
        <w:t xml:space="preserve">RAN4 needs to agree on the set of reference channels to be used for FR1-NTN test cases. While FR2-NTN test cases are performed in 100 MHz bandwidth, in order to minimize specification effort, one suggestion is to re-use the existing reference channels for FR1 (10MHz bandwidth and 15 kHz SCS). At the moment, there aren’t existing reference channels for 30 kHz in FDD, nor 100 MHz bandwidth reference channels in FR1. Therefore, the compromise is to simplify the implementation of the test cases in the specification, by avoiding the need to introduce new reference channels for all channels. </w:t>
      </w:r>
    </w:p>
    <w:p w14:paraId="59934ABB" w14:textId="2E32FBCA" w:rsidR="00E82064" w:rsidRDefault="00E82064" w:rsidP="00E82064">
      <w:pPr>
        <w:pStyle w:val="RAN4proposal"/>
        <w:rPr>
          <w:lang w:val="en-US"/>
        </w:rPr>
      </w:pPr>
      <w:bookmarkStart w:id="3" w:name="_Toc213425693"/>
      <w:r>
        <w:rPr>
          <w:lang w:val="en-US"/>
        </w:rPr>
        <w:t>For FR1-NTN numerology, reuse the reference channels used for 15 kHz SCS and 10 MHz of bandwidth existent for FR1.</w:t>
      </w:r>
      <w:bookmarkEnd w:id="3"/>
      <w:r>
        <w:rPr>
          <w:lang w:val="en-US"/>
        </w:rPr>
        <w:t xml:space="preserve"> </w:t>
      </w:r>
    </w:p>
    <w:p w14:paraId="6DD08C64" w14:textId="77777777" w:rsidR="008A1B0F" w:rsidRPr="008A1B0F" w:rsidRDefault="008A1B0F" w:rsidP="008A1B0F">
      <w:pPr>
        <w:rPr>
          <w:lang w:val="en-US"/>
        </w:rPr>
      </w:pPr>
    </w:p>
    <w:p w14:paraId="3DB90A97" w14:textId="222BD900" w:rsidR="00E82064" w:rsidRDefault="008A1B0F" w:rsidP="008A1B0F">
      <w:pPr>
        <w:pStyle w:val="RAN4H2"/>
        <w:rPr>
          <w:lang w:val="en-US"/>
        </w:rPr>
      </w:pPr>
      <w:r>
        <w:rPr>
          <w:lang w:val="en-US"/>
        </w:rPr>
        <w:t>Test applicability and test principle</w:t>
      </w:r>
    </w:p>
    <w:p w14:paraId="308E9BEA" w14:textId="37297ABA" w:rsidR="00D4121D" w:rsidRDefault="008A1B0F" w:rsidP="00E85346">
      <w:pPr>
        <w:rPr>
          <w:lang w:val="en-US"/>
        </w:rPr>
      </w:pPr>
      <w:r>
        <w:rPr>
          <w:lang w:val="en-US"/>
        </w:rPr>
        <w:t>RAN4 also discussed the applicability of the numerologies supported by the UE:</w:t>
      </w:r>
    </w:p>
    <w:tbl>
      <w:tblPr>
        <w:tblStyle w:val="TableGrid"/>
        <w:tblW w:w="0" w:type="auto"/>
        <w:tblLook w:val="04A0" w:firstRow="1" w:lastRow="0" w:firstColumn="1" w:lastColumn="0" w:noHBand="0" w:noVBand="1"/>
      </w:tblPr>
      <w:tblGrid>
        <w:gridCol w:w="9617"/>
      </w:tblGrid>
      <w:tr w:rsidR="008A1B0F" w14:paraId="730536CB" w14:textId="77777777" w:rsidTr="008A1B0F">
        <w:tc>
          <w:tcPr>
            <w:tcW w:w="9617" w:type="dxa"/>
          </w:tcPr>
          <w:p w14:paraId="538F0F90" w14:textId="77777777" w:rsidR="008A1B0F" w:rsidRPr="00201706" w:rsidRDefault="008A1B0F" w:rsidP="008A1B0F">
            <w:pPr>
              <w:pStyle w:val="Heading4"/>
              <w:rPr>
                <w:rFonts w:ascii="Times New Roman" w:hAnsi="Times New Roman"/>
                <w:b/>
                <w:bCs/>
                <w:szCs w:val="24"/>
                <w:lang w:val="en-US"/>
              </w:rPr>
            </w:pPr>
            <w:r w:rsidRPr="00074710">
              <w:rPr>
                <w:rFonts w:ascii="Times New Roman" w:hAnsi="Times New Roman"/>
                <w:b/>
                <w:bCs/>
                <w:szCs w:val="24"/>
                <w:lang w:val="en-US"/>
              </w:rPr>
              <w:t>Issue 1-2-5: Test applicability and principle</w:t>
            </w:r>
          </w:p>
          <w:p w14:paraId="3254E965" w14:textId="77777777" w:rsidR="008A1B0F" w:rsidRPr="00D910ED" w:rsidRDefault="008A1B0F" w:rsidP="008A1B0F">
            <w:pPr>
              <w:rPr>
                <w:lang w:val="en-US"/>
              </w:rPr>
            </w:pPr>
            <w:r w:rsidRPr="00D910ED">
              <w:rPr>
                <w:lang w:val="en-US"/>
              </w:rPr>
              <w:t>Agreement</w:t>
            </w:r>
          </w:p>
          <w:p w14:paraId="260D9F78" w14:textId="4ADF33F0" w:rsidR="008A1B0F" w:rsidRDefault="008A1B0F" w:rsidP="008A1B0F">
            <w:pPr>
              <w:pStyle w:val="ListParagraph"/>
              <w:numPr>
                <w:ilvl w:val="0"/>
                <w:numId w:val="38"/>
              </w:numPr>
              <w:overflowPunct w:val="0"/>
              <w:autoSpaceDE w:val="0"/>
              <w:autoSpaceDN w:val="0"/>
              <w:adjustRightInd w:val="0"/>
              <w:spacing w:after="120"/>
              <w:contextualSpacing w:val="0"/>
              <w:rPr>
                <w:rFonts w:eastAsia="SimSun"/>
                <w:bCs/>
              </w:rPr>
            </w:pPr>
            <w:r>
              <w:rPr>
                <w:rFonts w:eastAsia="SimSun"/>
                <w:bCs/>
                <w:lang w:val="en-US"/>
              </w:rPr>
              <w:t>(…)</w:t>
            </w:r>
          </w:p>
          <w:p w14:paraId="73AB8FBD" w14:textId="77777777" w:rsidR="008A1B0F" w:rsidRPr="00983462" w:rsidRDefault="008A1B0F" w:rsidP="008A1B0F">
            <w:pPr>
              <w:pStyle w:val="ListParagraph"/>
              <w:numPr>
                <w:ilvl w:val="0"/>
                <w:numId w:val="38"/>
              </w:numPr>
              <w:overflowPunct w:val="0"/>
              <w:autoSpaceDE w:val="0"/>
              <w:autoSpaceDN w:val="0"/>
              <w:adjustRightInd w:val="0"/>
              <w:spacing w:after="120"/>
              <w:contextualSpacing w:val="0"/>
              <w:rPr>
                <w:rFonts w:eastAsia="SimSun"/>
                <w:bCs/>
              </w:rPr>
            </w:pPr>
            <w:r w:rsidRPr="00983462">
              <w:rPr>
                <w:rFonts w:eastAsia="SimSun"/>
                <w:bCs/>
              </w:rPr>
              <w:t>RAN4 to discuss the test applicability for VSAT supporting Ku bands in both FR1-NTN and FR2-NTN, if such VSAT exists.</w:t>
            </w:r>
          </w:p>
          <w:p w14:paraId="17B63B00" w14:textId="77777777" w:rsidR="008A1B0F" w:rsidRDefault="008A1B0F" w:rsidP="008A1B0F">
            <w:pPr>
              <w:pStyle w:val="ListParagraph"/>
              <w:numPr>
                <w:ilvl w:val="1"/>
                <w:numId w:val="38"/>
              </w:numPr>
              <w:overflowPunct w:val="0"/>
              <w:autoSpaceDE w:val="0"/>
              <w:autoSpaceDN w:val="0"/>
              <w:adjustRightInd w:val="0"/>
              <w:spacing w:after="120"/>
              <w:contextualSpacing w:val="0"/>
              <w:rPr>
                <w:rFonts w:eastAsia="SimSun"/>
                <w:bCs/>
              </w:rPr>
            </w:pPr>
            <w:r>
              <w:rPr>
                <w:rFonts w:eastAsia="SimSun"/>
                <w:bCs/>
              </w:rPr>
              <w:t>Option 1: it is at least to pass two test configurations: one with FR1 numerology and one with FR2 numerology.</w:t>
            </w:r>
          </w:p>
          <w:p w14:paraId="450233DC" w14:textId="77777777" w:rsidR="008A1B0F" w:rsidRPr="00E850FB" w:rsidRDefault="008A1B0F" w:rsidP="008A1B0F">
            <w:pPr>
              <w:pStyle w:val="ListParagraph"/>
              <w:numPr>
                <w:ilvl w:val="1"/>
                <w:numId w:val="38"/>
              </w:numPr>
              <w:overflowPunct w:val="0"/>
              <w:autoSpaceDE w:val="0"/>
              <w:autoSpaceDN w:val="0"/>
              <w:adjustRightInd w:val="0"/>
              <w:spacing w:after="120"/>
              <w:contextualSpacing w:val="0"/>
              <w:rPr>
                <w:rFonts w:eastAsia="SimSun"/>
                <w:bCs/>
              </w:rPr>
            </w:pPr>
            <w:r>
              <w:rPr>
                <w:rFonts w:eastAsia="SimSun"/>
                <w:bCs/>
              </w:rPr>
              <w:t xml:space="preserve">Other options are not precluded. </w:t>
            </w:r>
          </w:p>
          <w:p w14:paraId="2902FF34" w14:textId="77777777" w:rsidR="008A1B0F" w:rsidRPr="008A1B0F" w:rsidRDefault="008A1B0F" w:rsidP="00E85346"/>
        </w:tc>
      </w:tr>
    </w:tbl>
    <w:p w14:paraId="608323C8" w14:textId="77777777" w:rsidR="008A1B0F" w:rsidRDefault="008A1B0F" w:rsidP="00E85346">
      <w:pPr>
        <w:rPr>
          <w:lang w:val="en-US"/>
        </w:rPr>
      </w:pPr>
    </w:p>
    <w:p w14:paraId="789BF157" w14:textId="162C0187" w:rsidR="008A1B0F" w:rsidRDefault="008A1B0F" w:rsidP="00E85346">
      <w:pPr>
        <w:rPr>
          <w:lang w:val="en-US"/>
        </w:rPr>
      </w:pPr>
      <w:r>
        <w:rPr>
          <w:lang w:val="en-US"/>
        </w:rPr>
        <w:t>The fist relevant comment relates to the sentence “if such VSAT exists”. It is our understanding that , even though the capabilities are not yet implemented in standard, RAN2 is heading to implementing the capabilities to describe support for Ku Band in parallel for FR1-NTN and FR2-NTN. This will enable the UE to support any combination of numerologies in Ku Band, including supporting both numerologies at the same time.</w:t>
      </w:r>
    </w:p>
    <w:p w14:paraId="59028953" w14:textId="70378DDE" w:rsidR="008A1B0F" w:rsidRDefault="008A1B0F" w:rsidP="00E85346">
      <w:pPr>
        <w:rPr>
          <w:lang w:val="en-US"/>
        </w:rPr>
      </w:pPr>
      <w:r>
        <w:rPr>
          <w:lang w:val="en-US"/>
        </w:rPr>
        <w:t xml:space="preserve">Therefore, RAN4 has to treat the problem as if it is possible for a UE to support both numerologies. In general, there is significant effort in RAN4 to minimize the amount of testing for UEs, aiming at minimizing costs and time to complete the testing. However, if we look at the limited set of test cases for VSAT UEs, which is considerably smaller than the list of test cases used for other features (e.g. NTN for handheld UEs) we don’t see that requiring the UE to pass the test cases for both numerologies as a significant issue. Moreover, it will ensure that the UE is performing well in both implementations. </w:t>
      </w:r>
    </w:p>
    <w:p w14:paraId="28B9FDBD" w14:textId="6F148B35" w:rsidR="008A1B0F" w:rsidRDefault="008A1B0F" w:rsidP="008A1B0F">
      <w:pPr>
        <w:pStyle w:val="RAN4proposal"/>
        <w:rPr>
          <w:lang w:val="en-US"/>
        </w:rPr>
      </w:pPr>
      <w:bookmarkStart w:id="4" w:name="_Toc213425694"/>
      <w:r>
        <w:rPr>
          <w:lang w:val="en-US"/>
        </w:rPr>
        <w:t>For NTN UEs that support both FR1-NTN and FR2-NTN, the UE is required to pass the test cases in both configurations.</w:t>
      </w:r>
      <w:bookmarkEnd w:id="4"/>
      <w:r>
        <w:rPr>
          <w:lang w:val="en-US"/>
        </w:rPr>
        <w:t xml:space="preserve"> </w:t>
      </w:r>
    </w:p>
    <w:p w14:paraId="1E9FBC94" w14:textId="1A66759F" w:rsidR="00E85346" w:rsidRDefault="008A1B0F" w:rsidP="008A1B0F">
      <w:pPr>
        <w:pStyle w:val="RAN4H2"/>
        <w:rPr>
          <w:lang w:val="en-US"/>
        </w:rPr>
      </w:pPr>
      <w:r>
        <w:rPr>
          <w:lang w:val="en-US"/>
        </w:rPr>
        <w:t>Transmit timing test case for mobile VSATs</w:t>
      </w:r>
    </w:p>
    <w:p w14:paraId="683495E1" w14:textId="7F856110" w:rsidR="008A1B0F" w:rsidRDefault="008A1B0F" w:rsidP="008A1B0F">
      <w:pPr>
        <w:rPr>
          <w:lang w:val="en-US"/>
        </w:rPr>
      </w:pPr>
      <w:r>
        <w:rPr>
          <w:lang w:val="en-US"/>
        </w:rPr>
        <w:t xml:space="preserve">Mobile VSATs and Fixed VSATs are subjected to the same transmit timing accuracy requirements. However , </w:t>
      </w:r>
      <w:r w:rsidR="007B4E65">
        <w:rPr>
          <w:lang w:val="en-US"/>
        </w:rPr>
        <w:t xml:space="preserve">mobile VSAT are under a much more stringent task, as they are moving at high speeds (up to 1000 km/h). If the tests are </w:t>
      </w:r>
      <w:r w:rsidR="007B4E65">
        <w:rPr>
          <w:lang w:val="en-US"/>
        </w:rPr>
        <w:lastRenderedPageBreak/>
        <w:t xml:space="preserve">performed under fixed conditions, the UE will not be tested under the declared capability. </w:t>
      </w:r>
      <w:r>
        <w:rPr>
          <w:lang w:val="en-US"/>
        </w:rPr>
        <w:t xml:space="preserve">This new functionality also needs to be tested. </w:t>
      </w:r>
    </w:p>
    <w:p w14:paraId="4466D68B" w14:textId="77777777" w:rsidR="008A1B0F" w:rsidRDefault="008A1B0F" w:rsidP="008A1B0F">
      <w:pPr>
        <w:pStyle w:val="RAN4observation0"/>
        <w:rPr>
          <w:lang w:val="en-US"/>
        </w:rPr>
      </w:pPr>
      <w:bookmarkStart w:id="5" w:name="_Toc213425695"/>
      <w:r>
        <w:rPr>
          <w:lang w:val="en-US"/>
        </w:rPr>
        <w:t>If the mobility aspect of a VSAT UE is relevant enough to be distinguished via VSAT Type whether a UE is mobile or fixed, it is important that they are tested according to the type reported.</w:t>
      </w:r>
      <w:bookmarkEnd w:id="5"/>
      <w:r>
        <w:rPr>
          <w:lang w:val="en-US"/>
        </w:rPr>
        <w:t xml:space="preserve"> </w:t>
      </w:r>
    </w:p>
    <w:p w14:paraId="38416B5D" w14:textId="77777777" w:rsidR="008A1B0F" w:rsidRDefault="008A1B0F" w:rsidP="008A1B0F">
      <w:pPr>
        <w:pStyle w:val="RAN4proposal"/>
        <w:rPr>
          <w:lang w:val="en-US"/>
        </w:rPr>
      </w:pPr>
      <w:bookmarkStart w:id="6" w:name="_Toc213425696"/>
      <w:r>
        <w:rPr>
          <w:lang w:val="en-US"/>
        </w:rPr>
        <w:t>For the transmit timing test case, RAN4 to discuss how to emulate the mobility of the mobile VSAT UE.</w:t>
      </w:r>
      <w:bookmarkEnd w:id="6"/>
    </w:p>
    <w:p w14:paraId="46C38F1E" w14:textId="1F390716" w:rsidR="00893D2E" w:rsidRPr="008F786B" w:rsidRDefault="00893D2E">
      <w:pPr>
        <w:rPr>
          <w:rFonts w:ascii="Arial" w:eastAsia="SimSun" w:hAnsi="Arial" w:cs="Times New Roman"/>
          <w:sz w:val="36"/>
          <w:szCs w:val="20"/>
        </w:rPr>
      </w:pPr>
      <w:bookmarkStart w:id="7" w:name="_Toc116995848"/>
    </w:p>
    <w:p w14:paraId="57565A1F" w14:textId="77777777" w:rsidR="00CD7492" w:rsidRPr="008F786B" w:rsidRDefault="00CD7492" w:rsidP="00A37002">
      <w:pPr>
        <w:pStyle w:val="RAN4H1"/>
      </w:pPr>
      <w:r w:rsidRPr="008F786B">
        <w:t>Conclusion</w:t>
      </w:r>
      <w:bookmarkEnd w:id="7"/>
    </w:p>
    <w:p w14:paraId="26CC4A81" w14:textId="68A15303" w:rsidR="00381F95" w:rsidRPr="008F786B" w:rsidRDefault="00C452BC" w:rsidP="00936159">
      <w:r>
        <w:t xml:space="preserve">In this paper we provided our views on the NTN operation in the KU band. We focused our discussion in </w:t>
      </w:r>
      <w:r w:rsidR="00057A68">
        <w:t xml:space="preserve">the new set of test cases to be introduced for VSAT UEs. </w:t>
      </w:r>
    </w:p>
    <w:p w14:paraId="71FC1F94" w14:textId="77777777" w:rsidR="00EF048B"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3425692" w:history="1">
        <w:r w:rsidR="00EF048B" w:rsidRPr="00FF647C">
          <w:rPr>
            <w:rStyle w:val="Hyperlink"/>
            <w:noProof/>
            <w:lang w:val="en-US"/>
          </w:rPr>
          <w:t>Proposal 1: For introducing the test cases for FR1-NTN numerology, reuse the FR2-NTN test cases with the necessary modifications in the reference channels on the test case description.</w:t>
        </w:r>
      </w:hyperlink>
    </w:p>
    <w:p w14:paraId="7054588A" w14:textId="77777777" w:rsidR="00EF048B" w:rsidRDefault="00EF048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5693" w:history="1">
        <w:r w:rsidRPr="00FF647C">
          <w:rPr>
            <w:rStyle w:val="Hyperlink"/>
            <w:noProof/>
            <w:lang w:val="en-US"/>
          </w:rPr>
          <w:t>Proposal 2: For FR1-NTN numerology, reuse the reference channels used for 15 kHz SCS and 10 MHz of bandwidth existent for FR1.</w:t>
        </w:r>
      </w:hyperlink>
    </w:p>
    <w:p w14:paraId="6ED59600" w14:textId="77777777" w:rsidR="00EF048B" w:rsidRDefault="00EF048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5694" w:history="1">
        <w:r w:rsidRPr="00FF647C">
          <w:rPr>
            <w:rStyle w:val="Hyperlink"/>
            <w:noProof/>
            <w:lang w:val="en-US"/>
          </w:rPr>
          <w:t>Proposal 3: For NTN UEs that support both FR1-NTN and FR2-NTN, the UE is required to pass the test cases in both configurations.</w:t>
        </w:r>
      </w:hyperlink>
    </w:p>
    <w:p w14:paraId="12E85F2F" w14:textId="77777777" w:rsidR="00EF048B" w:rsidRDefault="00EF048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3425695" w:history="1">
        <w:r w:rsidRPr="00FF647C">
          <w:rPr>
            <w:rStyle w:val="Hyperlink"/>
            <w:b/>
            <w:noProof/>
            <w:lang w:val="en-US"/>
          </w:rPr>
          <w:t>Observation 1:</w:t>
        </w:r>
        <w:r w:rsidRPr="00FF647C">
          <w:rPr>
            <w:rStyle w:val="Hyperlink"/>
            <w:noProof/>
            <w:lang w:val="en-US"/>
          </w:rPr>
          <w:t xml:space="preserve"> If the mobility aspect of a VSAT UE is relevant enough to be distinguished via VSAT Type whether a UE is mobile or fixed, it is important that they are tested according to the type reported.</w:t>
        </w:r>
      </w:hyperlink>
    </w:p>
    <w:p w14:paraId="7798582D" w14:textId="77777777" w:rsidR="00EF048B" w:rsidRDefault="00EF048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5696" w:history="1">
        <w:r w:rsidRPr="00FF647C">
          <w:rPr>
            <w:rStyle w:val="Hyperlink"/>
            <w:noProof/>
            <w:lang w:val="en-US"/>
          </w:rPr>
          <w:t>Proposal 4: For the transmit timing test case, RAN4 to discuss how to emulate the mobility of the mobile VSAT UE.</w:t>
        </w:r>
      </w:hyperlink>
    </w:p>
    <w:p w14:paraId="28993779" w14:textId="2A7BA8D7" w:rsidR="00847264" w:rsidRPr="008F786B" w:rsidRDefault="00A4355E" w:rsidP="008C39F7">
      <w:r w:rsidRPr="008F786B">
        <w:fldChar w:fldCharType="end"/>
      </w:r>
      <w:bookmarkStart w:id="8" w:name="_Toc116995849"/>
    </w:p>
    <w:p w14:paraId="18F1E33E" w14:textId="77777777" w:rsidR="003B659E" w:rsidRPr="008F786B" w:rsidRDefault="003B659E" w:rsidP="0060543D">
      <w:pPr>
        <w:pStyle w:val="RAN4H1"/>
        <w:numPr>
          <w:ilvl w:val="0"/>
          <w:numId w:val="0"/>
        </w:numPr>
        <w:ind w:left="360" w:hanging="360"/>
      </w:pPr>
      <w:r w:rsidRPr="008F786B">
        <w:t>References</w:t>
      </w:r>
      <w:bookmarkEnd w:id="8"/>
    </w:p>
    <w:p w14:paraId="0A51455D" w14:textId="7AC4459E" w:rsidR="000D31A0" w:rsidRPr="008F786B" w:rsidRDefault="003152B4" w:rsidP="000D31A0">
      <w:pPr>
        <w:pStyle w:val="ListParagraph"/>
        <w:numPr>
          <w:ilvl w:val="0"/>
          <w:numId w:val="21"/>
        </w:numPr>
        <w:ind w:right="-22"/>
      </w:pPr>
      <w:bookmarkStart w:id="9" w:name="_Ref114500673"/>
      <w:bookmarkStart w:id="10" w:name="_Ref194052563"/>
      <w:bookmarkStart w:id="11" w:name="_Ref197606253"/>
      <w:bookmarkEnd w:id="9"/>
      <w:r w:rsidRPr="003152B4">
        <w:t xml:space="preserve">  </w:t>
      </w:r>
      <w:bookmarkStart w:id="12" w:name="_Ref213345336"/>
      <w:r w:rsidR="00D4121D" w:rsidRPr="00D4121D">
        <w:t>R4-2515055</w:t>
      </w:r>
      <w:r w:rsidR="000D31A0">
        <w:t xml:space="preserve">, </w:t>
      </w:r>
      <w:r w:rsidR="00D4121D" w:rsidRPr="00D4121D">
        <w:t>Way Forward for [116bis][310] Rel-19 RRM performance_Part2</w:t>
      </w:r>
      <w:r w:rsidR="000D31A0">
        <w:t xml:space="preserve">, </w:t>
      </w:r>
      <w:r w:rsidR="00D4121D" w:rsidRPr="00D4121D">
        <w:t>Moderator (MediaTek inc.)</w:t>
      </w:r>
      <w:r w:rsidR="000D31A0">
        <w:t xml:space="preserve">, </w:t>
      </w:r>
      <w:bookmarkEnd w:id="10"/>
      <w:bookmarkEnd w:id="11"/>
      <w:bookmarkEnd w:id="12"/>
      <w:r w:rsidR="00D4121D" w:rsidRPr="00D4121D">
        <w:t>Prague, Czech Republic, Oct. 13-17, 2025</w:t>
      </w:r>
      <w:r w:rsidR="000D31A0" w:rsidRPr="00322391">
        <w:tab/>
      </w:r>
    </w:p>
    <w:p w14:paraId="5ADBEC0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0D31E" w14:textId="77777777" w:rsidR="00433E45" w:rsidRDefault="00433E45" w:rsidP="00001C9B">
      <w:pPr>
        <w:spacing w:after="0" w:line="240" w:lineRule="auto"/>
      </w:pPr>
      <w:r>
        <w:separator/>
      </w:r>
    </w:p>
  </w:endnote>
  <w:endnote w:type="continuationSeparator" w:id="0">
    <w:p w14:paraId="78615231" w14:textId="77777777" w:rsidR="00433E45" w:rsidRDefault="00433E4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E867" w14:textId="77777777" w:rsidR="00433E45" w:rsidRDefault="00433E45" w:rsidP="00001C9B">
      <w:pPr>
        <w:spacing w:after="0" w:line="240" w:lineRule="auto"/>
      </w:pPr>
      <w:r>
        <w:separator/>
      </w:r>
    </w:p>
  </w:footnote>
  <w:footnote w:type="continuationSeparator" w:id="0">
    <w:p w14:paraId="5D9309A2" w14:textId="77777777" w:rsidR="00433E45" w:rsidRDefault="00433E4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233"/>
    <w:multiLevelType w:val="hybridMultilevel"/>
    <w:tmpl w:val="0C1A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397FBC"/>
    <w:multiLevelType w:val="hybridMultilevel"/>
    <w:tmpl w:val="50E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371EE3"/>
    <w:multiLevelType w:val="hybridMultilevel"/>
    <w:tmpl w:val="25EAD8F4"/>
    <w:lvl w:ilvl="0" w:tplc="4AC8539E">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E954C0E4"/>
    <w:lvl w:ilvl="0" w:tplc="5AFE58D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995488"/>
    <w:multiLevelType w:val="hybridMultilevel"/>
    <w:tmpl w:val="354C2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617542"/>
    <w:multiLevelType w:val="hybridMultilevel"/>
    <w:tmpl w:val="DC0C56F8"/>
    <w:lvl w:ilvl="0" w:tplc="4BB855B4">
      <w:start w:val="1"/>
      <w:numFmt w:val="bullet"/>
      <w:lvlText w:val="•"/>
      <w:lvlJc w:val="left"/>
      <w:pPr>
        <w:ind w:left="20" w:hanging="400"/>
      </w:pPr>
      <w:rPr>
        <w:rFonts w:ascii="Arial" w:hAnsi="Arial" w:cs="Times New Roman" w:hint="default"/>
      </w:rPr>
    </w:lvl>
    <w:lvl w:ilvl="1" w:tplc="040B001B">
      <w:start w:val="1"/>
      <w:numFmt w:val="bullet"/>
      <w:lvlText w:val=""/>
      <w:lvlJc w:val="left"/>
      <w:pPr>
        <w:ind w:left="420" w:hanging="400"/>
      </w:pPr>
      <w:rPr>
        <w:rFonts w:ascii="Wingdings" w:hAnsi="Wingdings" w:hint="default"/>
      </w:rPr>
    </w:lvl>
    <w:lvl w:ilvl="2" w:tplc="04090005">
      <w:start w:val="1"/>
      <w:numFmt w:val="bullet"/>
      <w:lvlText w:val=""/>
      <w:lvlJc w:val="left"/>
      <w:pPr>
        <w:ind w:left="820" w:hanging="400"/>
      </w:pPr>
      <w:rPr>
        <w:rFonts w:ascii="Wingdings" w:hAnsi="Wingdings" w:hint="default"/>
      </w:rPr>
    </w:lvl>
    <w:lvl w:ilvl="3" w:tplc="04090001">
      <w:start w:val="1"/>
      <w:numFmt w:val="bullet"/>
      <w:lvlText w:val=""/>
      <w:lvlJc w:val="left"/>
      <w:pPr>
        <w:ind w:left="1220" w:hanging="400"/>
      </w:pPr>
      <w:rPr>
        <w:rFonts w:ascii="Wingdings" w:hAnsi="Wingdings" w:hint="default"/>
      </w:rPr>
    </w:lvl>
    <w:lvl w:ilvl="4" w:tplc="04090003">
      <w:start w:val="1"/>
      <w:numFmt w:val="bullet"/>
      <w:lvlText w:val=""/>
      <w:lvlJc w:val="left"/>
      <w:pPr>
        <w:ind w:left="1620" w:hanging="400"/>
      </w:pPr>
      <w:rPr>
        <w:rFonts w:ascii="Wingdings" w:hAnsi="Wingdings" w:hint="default"/>
      </w:rPr>
    </w:lvl>
    <w:lvl w:ilvl="5" w:tplc="04090005">
      <w:start w:val="1"/>
      <w:numFmt w:val="bullet"/>
      <w:lvlText w:val=""/>
      <w:lvlJc w:val="left"/>
      <w:pPr>
        <w:ind w:left="2020" w:hanging="400"/>
      </w:pPr>
      <w:rPr>
        <w:rFonts w:ascii="Wingdings" w:hAnsi="Wingdings" w:hint="default"/>
      </w:rPr>
    </w:lvl>
    <w:lvl w:ilvl="6" w:tplc="04090001">
      <w:start w:val="1"/>
      <w:numFmt w:val="bullet"/>
      <w:lvlText w:val=""/>
      <w:lvlJc w:val="left"/>
      <w:pPr>
        <w:ind w:left="2420" w:hanging="400"/>
      </w:pPr>
      <w:rPr>
        <w:rFonts w:ascii="Wingdings" w:hAnsi="Wingdings" w:hint="default"/>
      </w:rPr>
    </w:lvl>
    <w:lvl w:ilvl="7" w:tplc="04090003">
      <w:start w:val="1"/>
      <w:numFmt w:val="bullet"/>
      <w:lvlText w:val=""/>
      <w:lvlJc w:val="left"/>
      <w:pPr>
        <w:ind w:left="2820" w:hanging="400"/>
      </w:pPr>
      <w:rPr>
        <w:rFonts w:ascii="Wingdings" w:hAnsi="Wingdings" w:hint="default"/>
      </w:rPr>
    </w:lvl>
    <w:lvl w:ilvl="8" w:tplc="04090005">
      <w:start w:val="1"/>
      <w:numFmt w:val="bullet"/>
      <w:lvlText w:val=""/>
      <w:lvlJc w:val="left"/>
      <w:pPr>
        <w:ind w:left="3220" w:hanging="400"/>
      </w:pPr>
      <w:rPr>
        <w:rFonts w:ascii="Wingdings" w:hAnsi="Wingdings" w:hint="default"/>
      </w:rPr>
    </w:lvl>
  </w:abstractNum>
  <w:num w:numId="1" w16cid:durableId="166945348">
    <w:abstractNumId w:val="2"/>
  </w:num>
  <w:num w:numId="2" w16cid:durableId="1469392472">
    <w:abstractNumId w:val="10"/>
  </w:num>
  <w:num w:numId="3" w16cid:durableId="1792749823">
    <w:abstractNumId w:val="16"/>
  </w:num>
  <w:num w:numId="4" w16cid:durableId="517735681">
    <w:abstractNumId w:val="9"/>
  </w:num>
  <w:num w:numId="5" w16cid:durableId="1142041724">
    <w:abstractNumId w:val="21"/>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3"/>
  </w:num>
  <w:num w:numId="16" w16cid:durableId="516113510">
    <w:abstractNumId w:val="8"/>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9"/>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140414542">
    <w:abstractNumId w:val="24"/>
  </w:num>
  <w:num w:numId="28" w16cid:durableId="2095668156">
    <w:abstractNumId w:val="6"/>
  </w:num>
  <w:num w:numId="29" w16cid:durableId="1861818839">
    <w:abstractNumId w:val="3"/>
  </w:num>
  <w:num w:numId="30" w16cid:durableId="1758288136">
    <w:abstractNumId w:val="22"/>
  </w:num>
  <w:num w:numId="31" w16cid:durableId="1418012526">
    <w:abstractNumId w:val="12"/>
  </w:num>
  <w:num w:numId="32" w16cid:durableId="193078670">
    <w:abstractNumId w:val="25"/>
  </w:num>
  <w:num w:numId="33" w16cid:durableId="248002075">
    <w:abstractNumId w:val="22"/>
  </w:num>
  <w:num w:numId="34" w16cid:durableId="2110732054">
    <w:abstractNumId w:val="0"/>
  </w:num>
  <w:num w:numId="35" w16cid:durableId="588540479">
    <w:abstractNumId w:val="17"/>
  </w:num>
  <w:num w:numId="36" w16cid:durableId="1017077273">
    <w:abstractNumId w:val="18"/>
  </w:num>
  <w:num w:numId="37" w16cid:durableId="1265698039">
    <w:abstractNumId w:val="11"/>
  </w:num>
  <w:num w:numId="38" w16cid:durableId="1794598412">
    <w:abstractNumId w:val="4"/>
  </w:num>
  <w:num w:numId="39" w16cid:durableId="136071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55028"/>
    <w:rsid w:val="00001C9B"/>
    <w:rsid w:val="000040DC"/>
    <w:rsid w:val="00011784"/>
    <w:rsid w:val="000151EF"/>
    <w:rsid w:val="000239F5"/>
    <w:rsid w:val="00057A68"/>
    <w:rsid w:val="00061256"/>
    <w:rsid w:val="00072CCA"/>
    <w:rsid w:val="0007601C"/>
    <w:rsid w:val="00081544"/>
    <w:rsid w:val="0008612A"/>
    <w:rsid w:val="00090E18"/>
    <w:rsid w:val="000A10BC"/>
    <w:rsid w:val="000A7F53"/>
    <w:rsid w:val="000B0056"/>
    <w:rsid w:val="000C3C7B"/>
    <w:rsid w:val="000D0F93"/>
    <w:rsid w:val="000D31A0"/>
    <w:rsid w:val="00106416"/>
    <w:rsid w:val="00110481"/>
    <w:rsid w:val="001127C9"/>
    <w:rsid w:val="001141F5"/>
    <w:rsid w:val="00114498"/>
    <w:rsid w:val="00115B88"/>
    <w:rsid w:val="00126B16"/>
    <w:rsid w:val="00132F6A"/>
    <w:rsid w:val="00133913"/>
    <w:rsid w:val="00140221"/>
    <w:rsid w:val="00154E0F"/>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3559D"/>
    <w:rsid w:val="00235F5C"/>
    <w:rsid w:val="00240E17"/>
    <w:rsid w:val="0024235F"/>
    <w:rsid w:val="002433E2"/>
    <w:rsid w:val="00257FA3"/>
    <w:rsid w:val="00277B56"/>
    <w:rsid w:val="00282A74"/>
    <w:rsid w:val="002849D4"/>
    <w:rsid w:val="002876C7"/>
    <w:rsid w:val="00295E70"/>
    <w:rsid w:val="002A19F5"/>
    <w:rsid w:val="002B08CB"/>
    <w:rsid w:val="002B4922"/>
    <w:rsid w:val="002B69F3"/>
    <w:rsid w:val="002C22C3"/>
    <w:rsid w:val="002C2D19"/>
    <w:rsid w:val="002D10EB"/>
    <w:rsid w:val="002D10FA"/>
    <w:rsid w:val="002D4C55"/>
    <w:rsid w:val="002E411A"/>
    <w:rsid w:val="002E6DED"/>
    <w:rsid w:val="00300956"/>
    <w:rsid w:val="00307EE8"/>
    <w:rsid w:val="0031264E"/>
    <w:rsid w:val="003152B4"/>
    <w:rsid w:val="00317187"/>
    <w:rsid w:val="00321F72"/>
    <w:rsid w:val="0032499A"/>
    <w:rsid w:val="003341F7"/>
    <w:rsid w:val="00347FEC"/>
    <w:rsid w:val="003509DF"/>
    <w:rsid w:val="00356F45"/>
    <w:rsid w:val="00366B74"/>
    <w:rsid w:val="003774C0"/>
    <w:rsid w:val="00381F95"/>
    <w:rsid w:val="003A336D"/>
    <w:rsid w:val="003A710A"/>
    <w:rsid w:val="003B4307"/>
    <w:rsid w:val="003B659E"/>
    <w:rsid w:val="003C275E"/>
    <w:rsid w:val="003C4FDE"/>
    <w:rsid w:val="003E58DF"/>
    <w:rsid w:val="003F7007"/>
    <w:rsid w:val="00404C4C"/>
    <w:rsid w:val="0041423F"/>
    <w:rsid w:val="00414572"/>
    <w:rsid w:val="00414F81"/>
    <w:rsid w:val="00426B9A"/>
    <w:rsid w:val="00432BAF"/>
    <w:rsid w:val="00433E45"/>
    <w:rsid w:val="00436A0F"/>
    <w:rsid w:val="00437150"/>
    <w:rsid w:val="0043750A"/>
    <w:rsid w:val="00447577"/>
    <w:rsid w:val="00455028"/>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56FD1"/>
    <w:rsid w:val="00562492"/>
    <w:rsid w:val="005624E0"/>
    <w:rsid w:val="00572A20"/>
    <w:rsid w:val="00581618"/>
    <w:rsid w:val="005836F8"/>
    <w:rsid w:val="005918FA"/>
    <w:rsid w:val="00592A86"/>
    <w:rsid w:val="005935A8"/>
    <w:rsid w:val="005B3029"/>
    <w:rsid w:val="005B4801"/>
    <w:rsid w:val="005C0582"/>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576D"/>
    <w:rsid w:val="006E6311"/>
    <w:rsid w:val="006F0314"/>
    <w:rsid w:val="00701D91"/>
    <w:rsid w:val="00710D71"/>
    <w:rsid w:val="007145FF"/>
    <w:rsid w:val="00715B2A"/>
    <w:rsid w:val="00733B21"/>
    <w:rsid w:val="007376A9"/>
    <w:rsid w:val="007450F1"/>
    <w:rsid w:val="00751515"/>
    <w:rsid w:val="007626B7"/>
    <w:rsid w:val="0078212B"/>
    <w:rsid w:val="00784DF6"/>
    <w:rsid w:val="00785232"/>
    <w:rsid w:val="007A2588"/>
    <w:rsid w:val="007B186C"/>
    <w:rsid w:val="007B4E65"/>
    <w:rsid w:val="007C1696"/>
    <w:rsid w:val="007C3ED0"/>
    <w:rsid w:val="007C48C4"/>
    <w:rsid w:val="007C5971"/>
    <w:rsid w:val="007D2F32"/>
    <w:rsid w:val="007E42DC"/>
    <w:rsid w:val="007E4668"/>
    <w:rsid w:val="007F54B9"/>
    <w:rsid w:val="00806A76"/>
    <w:rsid w:val="00811C9D"/>
    <w:rsid w:val="00816C80"/>
    <w:rsid w:val="0081797B"/>
    <w:rsid w:val="0082796A"/>
    <w:rsid w:val="0083707A"/>
    <w:rsid w:val="00841BCD"/>
    <w:rsid w:val="00847264"/>
    <w:rsid w:val="0085194E"/>
    <w:rsid w:val="00851A8E"/>
    <w:rsid w:val="0085365B"/>
    <w:rsid w:val="008668DA"/>
    <w:rsid w:val="008826C1"/>
    <w:rsid w:val="00883DFD"/>
    <w:rsid w:val="0089210C"/>
    <w:rsid w:val="00893D2E"/>
    <w:rsid w:val="008A1B0F"/>
    <w:rsid w:val="008A1BF7"/>
    <w:rsid w:val="008A5B0E"/>
    <w:rsid w:val="008B0961"/>
    <w:rsid w:val="008C39F7"/>
    <w:rsid w:val="008F786B"/>
    <w:rsid w:val="0090091A"/>
    <w:rsid w:val="0090373B"/>
    <w:rsid w:val="009042BD"/>
    <w:rsid w:val="00904FE4"/>
    <w:rsid w:val="00927740"/>
    <w:rsid w:val="0093395F"/>
    <w:rsid w:val="00936159"/>
    <w:rsid w:val="0097178D"/>
    <w:rsid w:val="00977E1D"/>
    <w:rsid w:val="009A32FE"/>
    <w:rsid w:val="009B0573"/>
    <w:rsid w:val="009B0FDD"/>
    <w:rsid w:val="009B7B4B"/>
    <w:rsid w:val="009B7C21"/>
    <w:rsid w:val="009C73DE"/>
    <w:rsid w:val="009E4E6E"/>
    <w:rsid w:val="009E5FA9"/>
    <w:rsid w:val="00A04992"/>
    <w:rsid w:val="00A147AA"/>
    <w:rsid w:val="00A20923"/>
    <w:rsid w:val="00A21D71"/>
    <w:rsid w:val="00A22B78"/>
    <w:rsid w:val="00A246F7"/>
    <w:rsid w:val="00A25AE5"/>
    <w:rsid w:val="00A26442"/>
    <w:rsid w:val="00A37002"/>
    <w:rsid w:val="00A4355E"/>
    <w:rsid w:val="00A520D9"/>
    <w:rsid w:val="00A64DA0"/>
    <w:rsid w:val="00A74866"/>
    <w:rsid w:val="00A77991"/>
    <w:rsid w:val="00A92BCD"/>
    <w:rsid w:val="00A96F62"/>
    <w:rsid w:val="00AA1B0E"/>
    <w:rsid w:val="00AA47B6"/>
    <w:rsid w:val="00AA6C6A"/>
    <w:rsid w:val="00AB3C81"/>
    <w:rsid w:val="00AB7A41"/>
    <w:rsid w:val="00AC06C0"/>
    <w:rsid w:val="00AC163B"/>
    <w:rsid w:val="00AC5CA7"/>
    <w:rsid w:val="00AC6058"/>
    <w:rsid w:val="00AE2BA5"/>
    <w:rsid w:val="00AE56B1"/>
    <w:rsid w:val="00AE6D09"/>
    <w:rsid w:val="00AF7A7C"/>
    <w:rsid w:val="00B01375"/>
    <w:rsid w:val="00B02070"/>
    <w:rsid w:val="00B24479"/>
    <w:rsid w:val="00B258FE"/>
    <w:rsid w:val="00B26A8A"/>
    <w:rsid w:val="00B408B6"/>
    <w:rsid w:val="00B542DA"/>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4521"/>
    <w:rsid w:val="00C35173"/>
    <w:rsid w:val="00C43F4A"/>
    <w:rsid w:val="00C452BC"/>
    <w:rsid w:val="00C46548"/>
    <w:rsid w:val="00C574D5"/>
    <w:rsid w:val="00C73F32"/>
    <w:rsid w:val="00C851E4"/>
    <w:rsid w:val="00C87462"/>
    <w:rsid w:val="00CA180C"/>
    <w:rsid w:val="00CB22B2"/>
    <w:rsid w:val="00CC3EE2"/>
    <w:rsid w:val="00CD6C0E"/>
    <w:rsid w:val="00CD7492"/>
    <w:rsid w:val="00CE3A6B"/>
    <w:rsid w:val="00CF3D02"/>
    <w:rsid w:val="00D00211"/>
    <w:rsid w:val="00D006D1"/>
    <w:rsid w:val="00D025AE"/>
    <w:rsid w:val="00D03109"/>
    <w:rsid w:val="00D06309"/>
    <w:rsid w:val="00D349A5"/>
    <w:rsid w:val="00D351EA"/>
    <w:rsid w:val="00D40288"/>
    <w:rsid w:val="00D4121D"/>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6D4"/>
    <w:rsid w:val="00E437D2"/>
    <w:rsid w:val="00E43BF9"/>
    <w:rsid w:val="00E43FAB"/>
    <w:rsid w:val="00E45BB2"/>
    <w:rsid w:val="00E47BC6"/>
    <w:rsid w:val="00E51930"/>
    <w:rsid w:val="00E54B70"/>
    <w:rsid w:val="00E55751"/>
    <w:rsid w:val="00E5652C"/>
    <w:rsid w:val="00E60D14"/>
    <w:rsid w:val="00E65BD6"/>
    <w:rsid w:val="00E7398E"/>
    <w:rsid w:val="00E82064"/>
    <w:rsid w:val="00E82B94"/>
    <w:rsid w:val="00E85346"/>
    <w:rsid w:val="00E87217"/>
    <w:rsid w:val="00EA2311"/>
    <w:rsid w:val="00EC7BC3"/>
    <w:rsid w:val="00ED7600"/>
    <w:rsid w:val="00EF048B"/>
    <w:rsid w:val="00EF1F9E"/>
    <w:rsid w:val="00EF6073"/>
    <w:rsid w:val="00EF698B"/>
    <w:rsid w:val="00F01FA6"/>
    <w:rsid w:val="00F1362C"/>
    <w:rsid w:val="00F414F1"/>
    <w:rsid w:val="00F42313"/>
    <w:rsid w:val="00F508B8"/>
    <w:rsid w:val="00F72CB1"/>
    <w:rsid w:val="00F8215E"/>
    <w:rsid w:val="00F824F5"/>
    <w:rsid w:val="00F8708A"/>
    <w:rsid w:val="00F90FAB"/>
    <w:rsid w:val="00F9374D"/>
    <w:rsid w:val="00FB6924"/>
    <w:rsid w:val="00FC29B9"/>
    <w:rsid w:val="00FC6FD3"/>
    <w:rsid w:val="00FE305C"/>
    <w:rsid w:val="00FF0301"/>
    <w:rsid w:val="00FF103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05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B0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CRCoverPage">
    <w:name w:val="CR Cover Page"/>
    <w:rsid w:val="00EF048B"/>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4673">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00998975">
      <w:bodyDiv w:val="1"/>
      <w:marLeft w:val="0"/>
      <w:marRight w:val="0"/>
      <w:marTop w:val="0"/>
      <w:marBottom w:val="0"/>
      <w:divBdr>
        <w:top w:val="none" w:sz="0" w:space="0" w:color="auto"/>
        <w:left w:val="none" w:sz="0" w:space="0" w:color="auto"/>
        <w:bottom w:val="none" w:sz="0" w:space="0" w:color="auto"/>
        <w:right w:val="none" w:sz="0" w:space="0" w:color="auto"/>
      </w:divBdr>
    </w:div>
    <w:div w:id="11075615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52004088">
      <w:bodyDiv w:val="1"/>
      <w:marLeft w:val="0"/>
      <w:marRight w:val="0"/>
      <w:marTop w:val="0"/>
      <w:marBottom w:val="0"/>
      <w:divBdr>
        <w:top w:val="none" w:sz="0" w:space="0" w:color="auto"/>
        <w:left w:val="none" w:sz="0" w:space="0" w:color="auto"/>
        <w:bottom w:val="none" w:sz="0" w:space="0" w:color="auto"/>
        <w:right w:val="none" w:sz="0" w:space="0" w:color="auto"/>
      </w:divBdr>
    </w:div>
    <w:div w:id="603462233">
      <w:bodyDiv w:val="1"/>
      <w:marLeft w:val="0"/>
      <w:marRight w:val="0"/>
      <w:marTop w:val="0"/>
      <w:marBottom w:val="0"/>
      <w:divBdr>
        <w:top w:val="none" w:sz="0" w:space="0" w:color="auto"/>
        <w:left w:val="none" w:sz="0" w:space="0" w:color="auto"/>
        <w:bottom w:val="none" w:sz="0" w:space="0" w:color="auto"/>
        <w:right w:val="none" w:sz="0" w:space="0" w:color="auto"/>
      </w:divBdr>
    </w:div>
    <w:div w:id="703678934">
      <w:bodyDiv w:val="1"/>
      <w:marLeft w:val="0"/>
      <w:marRight w:val="0"/>
      <w:marTop w:val="0"/>
      <w:marBottom w:val="0"/>
      <w:divBdr>
        <w:top w:val="none" w:sz="0" w:space="0" w:color="auto"/>
        <w:left w:val="none" w:sz="0" w:space="0" w:color="auto"/>
        <w:bottom w:val="none" w:sz="0" w:space="0" w:color="auto"/>
        <w:right w:val="none" w:sz="0" w:space="0" w:color="auto"/>
      </w:divBdr>
    </w:div>
    <w:div w:id="730226541">
      <w:bodyDiv w:val="1"/>
      <w:marLeft w:val="0"/>
      <w:marRight w:val="0"/>
      <w:marTop w:val="0"/>
      <w:marBottom w:val="0"/>
      <w:divBdr>
        <w:top w:val="none" w:sz="0" w:space="0" w:color="auto"/>
        <w:left w:val="none" w:sz="0" w:space="0" w:color="auto"/>
        <w:bottom w:val="none" w:sz="0" w:space="0" w:color="auto"/>
        <w:right w:val="none" w:sz="0" w:space="0" w:color="auto"/>
      </w:divBdr>
    </w:div>
    <w:div w:id="1043215929">
      <w:bodyDiv w:val="1"/>
      <w:marLeft w:val="0"/>
      <w:marRight w:val="0"/>
      <w:marTop w:val="0"/>
      <w:marBottom w:val="0"/>
      <w:divBdr>
        <w:top w:val="none" w:sz="0" w:space="0" w:color="auto"/>
        <w:left w:val="none" w:sz="0" w:space="0" w:color="auto"/>
        <w:bottom w:val="none" w:sz="0" w:space="0" w:color="auto"/>
        <w:right w:val="none" w:sz="0" w:space="0" w:color="auto"/>
      </w:divBdr>
    </w:div>
    <w:div w:id="1088387738">
      <w:bodyDiv w:val="1"/>
      <w:marLeft w:val="0"/>
      <w:marRight w:val="0"/>
      <w:marTop w:val="0"/>
      <w:marBottom w:val="0"/>
      <w:divBdr>
        <w:top w:val="none" w:sz="0" w:space="0" w:color="auto"/>
        <w:left w:val="none" w:sz="0" w:space="0" w:color="auto"/>
        <w:bottom w:val="none" w:sz="0" w:space="0" w:color="auto"/>
        <w:right w:val="none" w:sz="0" w:space="0" w:color="auto"/>
      </w:divBdr>
    </w:div>
    <w:div w:id="1614172011">
      <w:bodyDiv w:val="1"/>
      <w:marLeft w:val="0"/>
      <w:marRight w:val="0"/>
      <w:marTop w:val="0"/>
      <w:marBottom w:val="0"/>
      <w:divBdr>
        <w:top w:val="none" w:sz="0" w:space="0" w:color="auto"/>
        <w:left w:val="none" w:sz="0" w:space="0" w:color="auto"/>
        <w:bottom w:val="none" w:sz="0" w:space="0" w:color="auto"/>
        <w:right w:val="none" w:sz="0" w:space="0" w:color="auto"/>
      </w:divBdr>
    </w:div>
    <w:div w:id="177158845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4750935">
      <w:bodyDiv w:val="1"/>
      <w:marLeft w:val="0"/>
      <w:marRight w:val="0"/>
      <w:marTop w:val="0"/>
      <w:marBottom w:val="0"/>
      <w:divBdr>
        <w:top w:val="none" w:sz="0" w:space="0" w:color="auto"/>
        <w:left w:val="none" w:sz="0" w:space="0" w:color="auto"/>
        <w:bottom w:val="none" w:sz="0" w:space="0" w:color="auto"/>
        <w:right w:val="none" w:sz="0" w:space="0" w:color="auto"/>
      </w:divBdr>
    </w:div>
    <w:div w:id="2044554857">
      <w:bodyDiv w:val="1"/>
      <w:marLeft w:val="0"/>
      <w:marRight w:val="0"/>
      <w:marTop w:val="0"/>
      <w:marBottom w:val="0"/>
      <w:divBdr>
        <w:top w:val="none" w:sz="0" w:space="0" w:color="auto"/>
        <w:left w:val="none" w:sz="0" w:space="0" w:color="auto"/>
        <w:bottom w:val="none" w:sz="0" w:space="0" w:color="auto"/>
        <w:right w:val="none" w:sz="0" w:space="0" w:color="auto"/>
      </w:divBdr>
    </w:div>
    <w:div w:id="210988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82A98-6B81-4E31-8F47-118186A24747}">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2025-11-07T15:35:00Z</dcterms:created>
  <dcterms:modified xsi:type="dcterms:W3CDTF">2025-11-07T17:04:00Z</dcterms:modified>
</cp:coreProperties>
</file>